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BD" w:rsidRPr="00D31EA3" w:rsidRDefault="00392A5F" w:rsidP="00407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08</w:t>
      </w:r>
      <w:r w:rsidR="00407ABD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.05.2024Г. № 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11</w:t>
      </w:r>
      <w:r w:rsidR="00407ABD"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-5СД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РОССИЙСКАЯ ФЕДЕРАЦИЯ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СЛЮДЯНСКИЙ МУНИЦИПАЛЬНЫЙ РАЙОН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НОВОСНЕЖНИНСКОЕ СЕЛЬСКОЕ ПОСЕЛЕНИЕ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ОБ ИСПОЛНЕНИИ БЮДЖЕТА</w:t>
      </w:r>
    </w:p>
    <w:p w:rsidR="00407ABD" w:rsidRPr="00D31EA3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НОВОСНЕЖНИНСКОГО МУНИЦИПАЛЬНОГО</w:t>
      </w:r>
    </w:p>
    <w:p w:rsidR="00407ABD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 ЗА 1 КВАРТАЛ 2024</w:t>
      </w: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</w:p>
    <w:p w:rsidR="00407ABD" w:rsidRDefault="00407ABD" w:rsidP="00407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07ABD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Заслушав информацию </w:t>
      </w:r>
      <w:r w:rsidRPr="008A6244">
        <w:rPr>
          <w:rFonts w:ascii="Arial" w:eastAsia="Times New Roman" w:hAnsi="Arial" w:cs="Arial"/>
          <w:sz w:val="24"/>
          <w:szCs w:val="24"/>
          <w:lang w:eastAsia="ru-RU"/>
        </w:rPr>
        <w:t>главы Новоснежнинског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сельского поселения Михайловой Л.В.</w:t>
      </w:r>
      <w:r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ст. 32 Устава Новоснежнинского муниципального образования (новая редакция),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RU 385183032005001,   </w:t>
      </w:r>
    </w:p>
    <w:p w:rsidR="00407ABD" w:rsidRPr="008A6244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ABD" w:rsidRPr="005842C7" w:rsidRDefault="00407ABD" w:rsidP="00407ABD">
      <w:pPr>
        <w:jc w:val="center"/>
        <w:rPr>
          <w:rFonts w:ascii="Arial" w:hAnsi="Arial" w:cs="Arial"/>
          <w:b/>
          <w:sz w:val="30"/>
          <w:szCs w:val="30"/>
        </w:rPr>
      </w:pPr>
      <w:r w:rsidRPr="00024E6A">
        <w:rPr>
          <w:rFonts w:ascii="Arial" w:hAnsi="Arial" w:cs="Arial"/>
          <w:b/>
          <w:sz w:val="30"/>
          <w:szCs w:val="30"/>
        </w:rPr>
        <w:t>ДУМА НОВОСН</w:t>
      </w:r>
      <w:r>
        <w:rPr>
          <w:rFonts w:ascii="Arial" w:hAnsi="Arial" w:cs="Arial"/>
          <w:b/>
          <w:sz w:val="30"/>
          <w:szCs w:val="30"/>
        </w:rPr>
        <w:t xml:space="preserve">ЕЖНИНСКОГО СЕЛЬСКОГО ПОСЕЛЕНИЯ </w:t>
      </w:r>
      <w:r w:rsidRPr="00024E6A">
        <w:rPr>
          <w:rFonts w:ascii="Arial" w:hAnsi="Arial" w:cs="Arial"/>
          <w:b/>
          <w:sz w:val="30"/>
          <w:szCs w:val="30"/>
        </w:rPr>
        <w:t>РЕШИЛА:</w:t>
      </w:r>
    </w:p>
    <w:p w:rsidR="00407ABD" w:rsidRPr="00981BBC" w:rsidRDefault="00407ABD" w:rsidP="00981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отчет </w:t>
      </w:r>
      <w:r w:rsidR="00981BBC" w:rsidRPr="00981BBC">
        <w:rPr>
          <w:rFonts w:ascii="Arial" w:hAnsi="Arial" w:cs="Arial"/>
          <w:sz w:val="24"/>
          <w:szCs w:val="24"/>
        </w:rPr>
        <w:t>об исполнении бюджета Новоснежнинского муниципального образования за 1 квартал 2024 года в соответствии с приложениями № 1,2,3,4,5,6,7 к настоящему Решению.</w:t>
      </w:r>
    </w:p>
    <w:p w:rsidR="00407ABD" w:rsidRPr="00981BBC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печатном издании «Вестник Новоснежнинского муниципального образования», а также разместить на официальном сайте администрации муниципального образования.</w:t>
      </w:r>
    </w:p>
    <w:p w:rsidR="00407ABD" w:rsidRPr="00981BBC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 в печатном издании «Вестник Новоснежнинского муниципального образования» не позднее 10 дней после его подписания главой Новоснежнинского муниципального образования.</w:t>
      </w:r>
    </w:p>
    <w:p w:rsidR="00407ABD" w:rsidRPr="00981BBC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ABD" w:rsidRPr="00981BBC" w:rsidRDefault="00407ABD" w:rsidP="00407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ABD" w:rsidRPr="00981BBC" w:rsidRDefault="00407ABD" w:rsidP="00407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407ABD" w:rsidRPr="00981BBC" w:rsidRDefault="00407ABD" w:rsidP="00407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Глава Новоснежнинского сельского поселения</w:t>
      </w:r>
    </w:p>
    <w:p w:rsidR="00407ABD" w:rsidRPr="00981BBC" w:rsidRDefault="00407ABD" w:rsidP="00407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Л.В.Михайлова</w:t>
      </w:r>
    </w:p>
    <w:p w:rsidR="00407ABD" w:rsidRPr="00981BBC" w:rsidRDefault="00407ABD" w:rsidP="00407A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032" w:rsidRDefault="008D0032"/>
    <w:p w:rsidR="00981BBC" w:rsidRDefault="00981BBC"/>
    <w:p w:rsidR="00981BBC" w:rsidRDefault="00981BBC"/>
    <w:p w:rsidR="00981BBC" w:rsidRDefault="00981BBC"/>
    <w:p w:rsidR="00981BBC" w:rsidRDefault="00981BBC"/>
    <w:p w:rsidR="00981BBC" w:rsidRDefault="00981BBC"/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81BBC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</w:t>
      </w:r>
      <w:r w:rsidR="00981BBC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395"/>
        <w:gridCol w:w="708"/>
        <w:gridCol w:w="2127"/>
        <w:gridCol w:w="1559"/>
        <w:gridCol w:w="1559"/>
      </w:tblGrid>
      <w:tr w:rsidR="00981BBC" w:rsidRPr="00981BBC" w:rsidTr="00981BBC">
        <w:trPr>
          <w:trHeight w:val="49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E63"/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 об исполнении доходов бюджета 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кодам классификации доходов бюджетов</w:t>
            </w:r>
            <w:bookmarkEnd w:id="0"/>
          </w:p>
        </w:tc>
      </w:tr>
      <w:tr w:rsidR="00981BBC" w:rsidRPr="00981BBC" w:rsidTr="00981BBC">
        <w:trPr>
          <w:trHeight w:val="8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Новоснежнинского муниципального образования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 1 квартал 2024 год 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ГАД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Код бюджетной классификации          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2 459 700,00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953 535,59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66 684,86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66 684,86</w:t>
            </w:r>
          </w:p>
        </w:tc>
      </w:tr>
      <w:tr w:rsidR="00981BBC" w:rsidRPr="00981BBC" w:rsidTr="00981BB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60 409,01</w:t>
            </w:r>
          </w:p>
        </w:tc>
      </w:tr>
      <w:tr w:rsidR="00981BBC" w:rsidRPr="00981BBC" w:rsidTr="00981BBC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1 01 02130 01 0000 110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6 275,85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498 244,41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498 244,41</w:t>
            </w:r>
          </w:p>
        </w:tc>
      </w:tr>
      <w:tr w:rsidR="00981BBC" w:rsidRPr="00981BBC" w:rsidTr="00981BB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244 280,83</w:t>
            </w:r>
          </w:p>
        </w:tc>
      </w:tr>
      <w:tr w:rsidR="00981BBC" w:rsidRPr="00981BBC" w:rsidTr="00981BBC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1 285,22</w:t>
            </w:r>
          </w:p>
        </w:tc>
      </w:tr>
      <w:tr w:rsidR="00981BBC" w:rsidRPr="00981BBC" w:rsidTr="00981BB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278 613,60</w:t>
            </w:r>
          </w:p>
        </w:tc>
      </w:tr>
      <w:tr w:rsidR="00981BBC" w:rsidRPr="00981BBC" w:rsidTr="00981BB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-120 600,00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-25 935,24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369 821,39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46 052,18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46 052,18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323 769,21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7 939,75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Земельный налог с организаций, обладающих земельным участком, </w:t>
            </w: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7 939,75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315 829,46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315 829,46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1 13 02000 00 0000 000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1 13 02995 10 0000 130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18 784,93</w:t>
            </w:r>
          </w:p>
        </w:tc>
      </w:tr>
      <w:tr w:rsidR="00981BBC" w:rsidRPr="00981BBC" w:rsidTr="00981BBC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1 16 10100 00 0000 140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18 784,93</w:t>
            </w:r>
          </w:p>
        </w:tc>
      </w:tr>
      <w:tr w:rsidR="00981BBC" w:rsidRPr="00981BBC" w:rsidTr="00981BBC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1 16 10100 10 0000 140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18 784,93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1 17 15030 10 0000 150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 1 17 01050 10 0000 180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11 256 339,00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2 649 180,72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11 256 339,00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2 649 180,72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2 603 877,00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Дотации бюджетам сельских поселений на выравнивание уровня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2 603 877,00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2 603 877,00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Субсидия, предоставляемая из областного бюджета бюджетам муниципальных образований Иркутской области в целях софинансирования расходов, связанных с реализацией мероприятий перечня проектов народных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45 303,72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18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45 303,72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45 303,72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2 02 49000 00 0000 000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2 07 05000 10 0000 180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2 07 05020 10 0000 180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2 07 05030 10 0000 180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13 716 039,00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3 602 716,31</w:t>
            </w:r>
          </w:p>
        </w:tc>
      </w:tr>
      <w:tr w:rsidR="00981BBC" w:rsidRPr="00981BBC" w:rsidTr="00981BBC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Л.В. Михайлова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81BBC"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</w:t>
      </w:r>
      <w:r w:rsidR="00981BBC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Pr="00981BBC" w:rsidRDefault="00981BBC" w:rsidP="00981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402"/>
        <w:gridCol w:w="1537"/>
        <w:gridCol w:w="590"/>
        <w:gridCol w:w="567"/>
        <w:gridCol w:w="1275"/>
        <w:gridCol w:w="1560"/>
        <w:gridCol w:w="1559"/>
      </w:tblGrid>
      <w:tr w:rsidR="00981BBC" w:rsidRPr="00981BBC" w:rsidTr="00981BBC">
        <w:trPr>
          <w:trHeight w:val="569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исполнения расходов бюджета  по разделам и подразделам  классификации расходов бюджетов Новоснежнинского МО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1BBC" w:rsidRPr="00981BBC" w:rsidTr="00981BBC">
        <w:trPr>
          <w:trHeight w:val="276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квартал 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1BBC" w:rsidRPr="00981BBC" w:rsidTr="00981BBC">
        <w:trPr>
          <w:trHeight w:val="78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Роспись на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на текущую дату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250 282,74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23,95%</w:t>
            </w:r>
          </w:p>
        </w:tc>
      </w:tr>
      <w:tr w:rsidR="00981BBC" w:rsidRPr="00981BBC" w:rsidTr="00981BBC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250 282,74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23,95%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7 914 317,20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1 718 340,68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21,71%</w:t>
            </w:r>
          </w:p>
        </w:tc>
      </w:tr>
      <w:tr w:rsidR="00981BBC" w:rsidRPr="00981BBC" w:rsidTr="00981BBC">
        <w:trPr>
          <w:trHeight w:val="10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7 914 317,20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1 718 340,68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21,71%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7114300000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7114300000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6,71%</w:t>
            </w:r>
          </w:p>
        </w:tc>
      </w:tr>
      <w:tr w:rsidR="00981BBC" w:rsidRPr="00981BBC" w:rsidTr="00981BBC">
        <w:trPr>
          <w:trHeight w:val="55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11,19%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Расходы на реализацию мероприятий перечня проектов  народных инициатив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72146S2370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7414974411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6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Расходы на реализацию мероприятия Инициативных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74150S2380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2 771 305,27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434 924,46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15,69%</w:t>
            </w:r>
          </w:p>
        </w:tc>
      </w:tr>
      <w:tr w:rsidR="00981BBC" w:rsidRPr="00981BBC" w:rsidTr="00981BBC">
        <w:trPr>
          <w:trHeight w:val="4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2 410 455,27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434 924,46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18,04%</w:t>
            </w:r>
          </w:p>
        </w:tc>
      </w:tr>
      <w:tr w:rsidR="00981BBC" w:rsidRPr="00981BBC" w:rsidTr="00981BBC">
        <w:trPr>
          <w:trHeight w:val="4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75151S2370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4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75151S2370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7820073150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7820073150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344 693,22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16,67%</w:t>
            </w:r>
          </w:p>
        </w:tc>
      </w:tr>
      <w:tr w:rsidR="00981BBC" w:rsidRPr="00981BBC" w:rsidTr="00981BBC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344 693,22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16,67%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45 303,72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21,59%</w:t>
            </w:r>
          </w:p>
        </w:tc>
      </w:tr>
      <w:tr w:rsidR="00981BBC" w:rsidRPr="00981BBC" w:rsidTr="00981BBC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45 303,72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21,59%</w:t>
            </w:r>
          </w:p>
        </w:tc>
      </w:tr>
      <w:tr w:rsidR="00981BBC" w:rsidRPr="00981BBC" w:rsidTr="00981BBC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16 884 529,38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3 183 164,32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18,85%</w:t>
            </w:r>
          </w:p>
        </w:tc>
      </w:tr>
      <w:tr w:rsidR="00981BBC" w:rsidRPr="00981BBC" w:rsidTr="00981BBC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ind w:right="-2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ind w:right="-2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</w:p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81BBC" w:rsidRPr="00981BBC" w:rsidRDefault="00981BBC" w:rsidP="00981BBC">
            <w:pPr>
              <w:spacing w:after="0" w:line="240" w:lineRule="auto"/>
              <w:ind w:right="-2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Л.В. Михайлова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81BBC">
        <w:rPr>
          <w:rFonts w:ascii="Courier New" w:eastAsia="Times New Roman" w:hAnsi="Courier New" w:cs="Courier New"/>
          <w:lang w:eastAsia="ru-RU"/>
        </w:rPr>
        <w:lastRenderedPageBreak/>
        <w:t>Приложение 3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</w:t>
      </w:r>
      <w:r w:rsidR="00981BBC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tbl>
      <w:tblPr>
        <w:tblW w:w="10511" w:type="dxa"/>
        <w:tblInd w:w="-284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422"/>
        <w:gridCol w:w="877"/>
        <w:gridCol w:w="1290"/>
        <w:gridCol w:w="481"/>
        <w:gridCol w:w="481"/>
        <w:gridCol w:w="613"/>
        <w:gridCol w:w="1141"/>
        <w:gridCol w:w="1537"/>
        <w:gridCol w:w="1522"/>
        <w:gridCol w:w="17"/>
      </w:tblGrid>
      <w:tr w:rsidR="00981BBC" w:rsidRPr="00981BBC" w:rsidTr="00C0084E">
        <w:trPr>
          <w:trHeight w:val="27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ИСПОЛНЕНИЯ БЮДЖЕТА ПО ВЕДОМСТВЕННАЯ СТРУКТУРА РАСХОДОВ БЮДЖЕТА НОВОСНЕЖНИНСКОГО МУНИЦИПАЛЬНОГО ОБРАЗОВАНИЯ за 1 квартал 2024 год</w:t>
            </w:r>
          </w:p>
        </w:tc>
      </w:tr>
      <w:tr w:rsidR="00981BBC" w:rsidRPr="00981BBC" w:rsidTr="00C0084E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1BBC" w:rsidRPr="00981BBC" w:rsidTr="00C0084E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084E" w:rsidRPr="00981BBC" w:rsidTr="00C0084E">
        <w:trPr>
          <w:gridAfter w:val="1"/>
          <w:wAfter w:w="17" w:type="dxa"/>
          <w:trHeight w:val="36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Код главы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 w:right="-28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ВР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Роспись на год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 w:right="-64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на текущую дату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Программа  «Совершенствование механизмов управления Новоснежнинского муниципального образования на 2024 год и плановый период 2025-2026годов»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8 959 314,82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1 968 623,42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21,97%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Подпрограмма "Реализация полномочий по решению вопросов местного значения администрацией Новоснежнинского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8 959 314,82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1 968 623,42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21,97%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"Функционирование высшего должностного лица муниципального образования Новоснежнинского сельского поселения"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250 282,74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23,95%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250 282,74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23,95%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"Осуществление функций адмнистрации Новоснежнинского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7 914 317,20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1 718 340,68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21,71%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5 091 721,82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1 216 426,38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23,89%</w:t>
            </w:r>
          </w:p>
        </w:tc>
      </w:tr>
      <w:tr w:rsidR="00C0084E" w:rsidRPr="00981BBC" w:rsidTr="00C0084E">
        <w:trPr>
          <w:gridAfter w:val="1"/>
          <w:wAfter w:w="17" w:type="dxa"/>
          <w:trHeight w:val="58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2 768 598,38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451 914,30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16,32%</w:t>
            </w:r>
          </w:p>
        </w:tc>
      </w:tr>
      <w:tr w:rsidR="00C0084E" w:rsidRPr="00981BBC" w:rsidTr="00C0084E">
        <w:trPr>
          <w:gridAfter w:val="1"/>
          <w:wAfter w:w="17" w:type="dxa"/>
          <w:trHeight w:val="4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53 997,00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92,60%</w:t>
            </w:r>
          </w:p>
        </w:tc>
      </w:tr>
      <w:tr w:rsidR="00C0084E" w:rsidRPr="00981BBC" w:rsidTr="00C0084E">
        <w:trPr>
          <w:gridAfter w:val="1"/>
          <w:wAfter w:w="17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Программа «По вопросам обеспечения пожарной безопасности на территории Новоснежнинского сельского поселения»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6,71%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средств противопожарной защиты"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6,71%</w:t>
            </w:r>
          </w:p>
        </w:tc>
      </w:tr>
      <w:tr w:rsidR="00C0084E" w:rsidRPr="00981BBC" w:rsidTr="00C0084E">
        <w:trPr>
          <w:gridAfter w:val="1"/>
          <w:wAfter w:w="17" w:type="dxa"/>
          <w:trHeight w:val="90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"Укрепление противопожарного состояния учреждений, жилого фонда, территории Новоснежнинского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11,19%</w:t>
            </w:r>
          </w:p>
        </w:tc>
      </w:tr>
      <w:tr w:rsidR="00C0084E" w:rsidRPr="00981BBC" w:rsidTr="00C0084E">
        <w:trPr>
          <w:gridAfter w:val="1"/>
          <w:wAfter w:w="17" w:type="dxa"/>
          <w:trHeight w:val="69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8 619,50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11,19%</w:t>
            </w:r>
          </w:p>
        </w:tc>
      </w:tr>
      <w:tr w:rsidR="00C0084E" w:rsidRPr="00981BBC" w:rsidTr="00C0084E">
        <w:trPr>
          <w:gridAfter w:val="1"/>
          <w:wAfter w:w="17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7214600000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2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72146S2370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8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Программа «Развитие дорожного хозяйства в Новоснежнинском муниципальном образовании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"Приведение в нормативное состояние автомобильных дорог местного значения Новоснежнинского  муниципального образования"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C0084E" w:rsidRPr="00981BBC" w:rsidTr="00C0084E">
        <w:trPr>
          <w:gridAfter w:val="1"/>
          <w:wAfter w:w="17" w:type="dxa"/>
          <w:trHeight w:val="698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"Содержание, ремонт и освещение дорог в 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п.Новоснежная, п. Мурино"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C0084E" w:rsidRPr="00981BBC" w:rsidTr="00C0084E">
        <w:trPr>
          <w:gridAfter w:val="1"/>
          <w:wAfter w:w="17" w:type="dxa"/>
          <w:trHeight w:val="78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381 000,00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15,64%</w:t>
            </w:r>
          </w:p>
        </w:tc>
      </w:tr>
      <w:tr w:rsidR="00C0084E" w:rsidRPr="00981BBC" w:rsidTr="00C0084E">
        <w:trPr>
          <w:gridAfter w:val="1"/>
          <w:wAfter w:w="17" w:type="dxa"/>
          <w:trHeight w:val="556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Программа «Благоустройство территории Новоснежнинского муниципального образования (сельского поселения)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81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Подрограмма "Развитие и содержание благоустройства территории Новоснежнинского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87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 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7414900000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7414974411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9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мероприятия Инициативных платежей"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7415000000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9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74150S2380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82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Программа «Развитие культуры в Новоснежнинском муниципальном образовании на 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2 771 305,27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434 924,46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15,69%</w:t>
            </w:r>
          </w:p>
        </w:tc>
      </w:tr>
      <w:tr w:rsidR="00C0084E" w:rsidRPr="00981BBC" w:rsidTr="00C0084E">
        <w:trPr>
          <w:gridAfter w:val="1"/>
          <w:wAfter w:w="17" w:type="dxa"/>
          <w:trHeight w:val="78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Подпрограмма "Создание условий для организации досуга и обеспечения жителей услугами организации культуры в Новоснежнинском муниципальном образовании"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2 771 305,27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434 924,46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15,69%</w:t>
            </w:r>
          </w:p>
        </w:tc>
      </w:tr>
      <w:tr w:rsidR="00C0084E" w:rsidRPr="00981BBC" w:rsidTr="00C0084E">
        <w:trPr>
          <w:gridAfter w:val="1"/>
          <w:wAfter w:w="17" w:type="dxa"/>
          <w:trHeight w:val="8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"Обеспечение реализации подпрограммы"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2 410 455,27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434 924,46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18,04%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1 724 155,27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345 095,25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20,02%</w:t>
            </w:r>
          </w:p>
        </w:tc>
      </w:tr>
      <w:tr w:rsidR="00C0084E" w:rsidRPr="00981BBC" w:rsidTr="00C0084E">
        <w:trPr>
          <w:gridAfter w:val="1"/>
          <w:wAfter w:w="17" w:type="dxa"/>
          <w:trHeight w:val="72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686 300,00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89 829,21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13,09%</w:t>
            </w:r>
          </w:p>
        </w:tc>
      </w:tr>
      <w:tr w:rsidR="00C0084E" w:rsidRPr="00981BBC" w:rsidTr="00C0084E">
        <w:trPr>
          <w:gridAfter w:val="1"/>
          <w:wAfter w:w="17" w:type="dxa"/>
          <w:trHeight w:val="88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7515200000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75152S2370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51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2 289 659,29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389 996,94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17,03%</w:t>
            </w:r>
          </w:p>
        </w:tc>
      </w:tr>
      <w:tr w:rsidR="00C0084E" w:rsidRPr="00981BBC" w:rsidTr="00C0084E">
        <w:trPr>
          <w:gridAfter w:val="1"/>
          <w:wAfter w:w="17" w:type="dxa"/>
          <w:trHeight w:val="593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Резервные фонды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546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14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правонарушкениях, предусмотренных отдельными заонами Иркутской области об административной ответственности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7820000000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3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7820073150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2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344 693,22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16,67%</w:t>
            </w:r>
          </w:p>
        </w:tc>
      </w:tr>
      <w:tr w:rsidR="00C0084E" w:rsidRPr="00981BBC" w:rsidTr="00C0084E">
        <w:trPr>
          <w:gridAfter w:val="1"/>
          <w:wAfter w:w="17" w:type="dxa"/>
          <w:trHeight w:val="5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344 693,22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16,67%</w:t>
            </w:r>
          </w:p>
        </w:tc>
      </w:tr>
      <w:tr w:rsidR="00C0084E" w:rsidRPr="00981BBC" w:rsidTr="00C0084E">
        <w:trPr>
          <w:gridAfter w:val="1"/>
          <w:wAfter w:w="17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7840000000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45 303,72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21,59%</w:t>
            </w:r>
          </w:p>
        </w:tc>
      </w:tr>
      <w:tr w:rsidR="00C0084E" w:rsidRPr="00981BBC" w:rsidTr="00C0084E">
        <w:trPr>
          <w:gridAfter w:val="1"/>
          <w:wAfter w:w="17" w:type="dxa"/>
          <w:trHeight w:val="114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196 400,00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45 303,72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23,07%</w:t>
            </w:r>
          </w:p>
        </w:tc>
      </w:tr>
      <w:tr w:rsidR="00C0084E" w:rsidRPr="00981BBC" w:rsidTr="00C0084E">
        <w:trPr>
          <w:gridAfter w:val="1"/>
          <w:wAfter w:w="17" w:type="dxa"/>
          <w:trHeight w:val="79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13 400,00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6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7850000000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75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104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7850000000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C0084E" w:rsidRPr="00981BBC" w:rsidTr="00C0084E">
        <w:trPr>
          <w:gridAfter w:val="1"/>
          <w:wAfter w:w="17" w:type="dxa"/>
          <w:trHeight w:val="540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16 884 529,38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3 183 164,32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C0084E">
            <w:pPr>
              <w:spacing w:after="0" w:line="240" w:lineRule="auto"/>
              <w:ind w:left="-247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18,85%</w:t>
            </w:r>
          </w:p>
        </w:tc>
      </w:tr>
    </w:tbl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C0084E">
      <w:pPr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администрации</w:t>
      </w:r>
    </w:p>
    <w:p w:rsidR="00981BBC" w:rsidRPr="00981BBC" w:rsidRDefault="00981BBC" w:rsidP="00C0084E">
      <w:pPr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Новоснежнинского</w:t>
      </w:r>
    </w:p>
    <w:p w:rsidR="00981BBC" w:rsidRPr="00981BBC" w:rsidRDefault="00981BBC" w:rsidP="00C0084E">
      <w:pPr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981BBC" w:rsidRPr="00981BBC" w:rsidRDefault="00981BBC" w:rsidP="00C0084E">
      <w:pPr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Л.В. Михайлова</w:t>
      </w: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Pr="00981BBC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981BBC">
        <w:rPr>
          <w:rFonts w:ascii="Courier New" w:eastAsia="Times New Roman" w:hAnsi="Courier New" w:cs="Courier New"/>
          <w:bCs/>
          <w:color w:val="000000"/>
          <w:lang w:eastAsia="ru-RU"/>
        </w:rPr>
        <w:lastRenderedPageBreak/>
        <w:t>Приложение 4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</w:p>
    <w:p w:rsidR="00981BBC" w:rsidRPr="00981BBC" w:rsidRDefault="00981BBC" w:rsidP="00981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969"/>
        <w:gridCol w:w="1009"/>
        <w:gridCol w:w="2693"/>
        <w:gridCol w:w="1417"/>
        <w:gridCol w:w="1405"/>
      </w:tblGrid>
      <w:tr w:rsidR="00981BBC" w:rsidRPr="00981BBC" w:rsidTr="00981BBC">
        <w:trPr>
          <w:trHeight w:val="103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источников  финансирования дефицита бюджета по кодам групп, подгрупп, видов  источников 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Новоснежнинского МО за 1 квартал 2024 год.</w:t>
            </w:r>
          </w:p>
        </w:tc>
      </w:tr>
      <w:tr w:rsidR="00981BBC" w:rsidRPr="00981BBC" w:rsidTr="00981BBC">
        <w:trPr>
          <w:trHeight w:val="2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Код источников финансирования по КИВФ, КИВнФ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Утвеждено на 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br/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 финансирования дефицита бюджетов-всего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3 168 490,38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-419 551,99</w:t>
            </w:r>
          </w:p>
        </w:tc>
      </w:tr>
      <w:tr w:rsidR="00981BBC" w:rsidRPr="00981BBC" w:rsidTr="00981BBC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981 01 02 00 00 00 0000 000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120 563,25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Кредиты,  кредитных организаций в валюте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  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120 563,25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81BBC" w:rsidRPr="00981BBC" w:rsidTr="00981BB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981BBC" w:rsidRPr="00981BBC" w:rsidTr="00981BB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3 047 927,13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-419 551,99</w:t>
            </w:r>
          </w:p>
        </w:tc>
      </w:tr>
      <w:tr w:rsidR="00981BBC" w:rsidRPr="00981BBC" w:rsidTr="00981BBC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-13 836 602,25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-3 612 653,53</w:t>
            </w:r>
          </w:p>
        </w:tc>
      </w:tr>
      <w:tr w:rsidR="00981BBC" w:rsidRPr="00981BBC" w:rsidTr="00981BB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-13 836 602,25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-3 612 653,53</w:t>
            </w:r>
          </w:p>
        </w:tc>
      </w:tr>
      <w:tr w:rsidR="00981BBC" w:rsidRPr="00981BBC" w:rsidTr="00981BBC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-13 836 602,25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-3 612 653,53</w:t>
            </w:r>
          </w:p>
        </w:tc>
      </w:tr>
      <w:tr w:rsidR="00981BBC" w:rsidRPr="00981BBC" w:rsidTr="00981BB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-13 836 602,25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-3 612 653,53</w:t>
            </w:r>
          </w:p>
        </w:tc>
      </w:tr>
      <w:tr w:rsidR="00981BBC" w:rsidRPr="00981BBC" w:rsidTr="00981BB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16 884 529,38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3 193 101,54</w:t>
            </w:r>
          </w:p>
        </w:tc>
      </w:tr>
      <w:tr w:rsidR="00981BBC" w:rsidRPr="00981BBC" w:rsidTr="00981BB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16 884 529,38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3 193 101,54</w:t>
            </w:r>
          </w:p>
        </w:tc>
      </w:tr>
      <w:tr w:rsidR="00981BBC" w:rsidRPr="00981BBC" w:rsidTr="00981BB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16 884 529,38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3 193 101,54</w:t>
            </w:r>
          </w:p>
        </w:tc>
      </w:tr>
      <w:tr w:rsidR="00981BBC" w:rsidRPr="00981BBC" w:rsidTr="00981BB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16 884 529,38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color w:val="000000"/>
                <w:lang w:eastAsia="ru-RU"/>
              </w:rPr>
              <w:t>3 193 101,54</w:t>
            </w:r>
          </w:p>
        </w:tc>
      </w:tr>
    </w:tbl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администрации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Новоснежнинского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Л.В. Михайлова</w:t>
      </w: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Pr="00981BBC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Pr="00981BBC" w:rsidRDefault="00981BBC" w:rsidP="00C0084E">
      <w:pPr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981BBC">
        <w:rPr>
          <w:rFonts w:ascii="Courier New" w:eastAsia="Times New Roman" w:hAnsi="Courier New" w:cs="Courier New"/>
          <w:bCs/>
          <w:color w:val="000000"/>
          <w:lang w:eastAsia="ru-RU"/>
        </w:rPr>
        <w:lastRenderedPageBreak/>
        <w:t>Приложение 5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798"/>
        <w:gridCol w:w="3738"/>
        <w:gridCol w:w="2065"/>
        <w:gridCol w:w="1904"/>
        <w:gridCol w:w="1843"/>
      </w:tblGrid>
      <w:tr w:rsidR="00981BBC" w:rsidRPr="00981BBC" w:rsidTr="00C0084E">
        <w:trPr>
          <w:trHeight w:val="43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>Отчет об исполнении расходов, осуществляемых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>за счет межбюджетных трансфертов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 xml:space="preserve">в бюджет муниципального образования – 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>Слюдянский район за 1 квартал 2024 года на решение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>вопросов местного значения муниципального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BBC">
              <w:rPr>
                <w:rFonts w:ascii="Arial" w:hAnsi="Arial" w:cs="Arial"/>
                <w:b/>
                <w:sz w:val="24"/>
                <w:szCs w:val="24"/>
              </w:rPr>
              <w:t>характерам в соответствии с соглашениями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BBC" w:rsidRPr="00981BBC" w:rsidTr="00C0084E">
        <w:trPr>
          <w:trHeight w:val="10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BBC" w:rsidRPr="00981BBC" w:rsidTr="00C0084E">
        <w:trPr>
          <w:trHeight w:val="81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№ п/п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ЭКР экономическая классификация)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Утверждено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Исполнено</w:t>
            </w:r>
          </w:p>
        </w:tc>
      </w:tr>
      <w:tr w:rsidR="00981BBC" w:rsidRPr="00981BBC" w:rsidTr="00C0084E">
        <w:trPr>
          <w:trHeight w:val="3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981BBC" w:rsidRPr="00981BBC" w:rsidTr="00C0084E">
        <w:trPr>
          <w:trHeight w:val="112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Составление и исполнение бюджетов поселений,составление отчета об исполнении бюджета поселения, осуществление бюджетного учета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1 858 848,00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309 808,00</w:t>
            </w:r>
          </w:p>
        </w:tc>
      </w:tr>
      <w:tr w:rsidR="00981BBC" w:rsidRPr="00981BBC" w:rsidTr="00C0084E">
        <w:trPr>
          <w:trHeight w:val="945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Полномочия КСП поселения по осуществлению внешнего муниципального финансового контроля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209 311,29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34 885,22</w:t>
            </w:r>
          </w:p>
        </w:tc>
      </w:tr>
      <w:tr w:rsidR="00981BBC" w:rsidRPr="00981BBC" w:rsidTr="00C0084E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ИТОГО: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2 068 159,29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344 693,22</w:t>
            </w:r>
          </w:p>
        </w:tc>
      </w:tr>
    </w:tbl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администрации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Новоснежнинского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Л.В. Михайлова</w:t>
      </w: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Pr="00981BBC" w:rsidRDefault="00C0084E" w:rsidP="0098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981BBC">
        <w:rPr>
          <w:rFonts w:ascii="Courier New" w:eastAsia="Times New Roman" w:hAnsi="Courier New" w:cs="Courier New"/>
          <w:bCs/>
          <w:color w:val="000000"/>
          <w:lang w:eastAsia="ru-RU"/>
        </w:rPr>
        <w:lastRenderedPageBreak/>
        <w:t>Приложение 6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08.05.2024г. № 11</w:t>
      </w:r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5301" w:type="dxa"/>
        <w:tblLook w:val="04A0" w:firstRow="1" w:lastRow="0" w:firstColumn="1" w:lastColumn="0" w:noHBand="0" w:noVBand="1"/>
      </w:tblPr>
      <w:tblGrid>
        <w:gridCol w:w="3686"/>
        <w:gridCol w:w="3390"/>
        <w:gridCol w:w="236"/>
        <w:gridCol w:w="2894"/>
        <w:gridCol w:w="4032"/>
        <w:gridCol w:w="236"/>
        <w:gridCol w:w="827"/>
      </w:tblGrid>
      <w:tr w:rsidR="00981BBC" w:rsidRPr="00981BBC" w:rsidTr="00981BBC">
        <w:trPr>
          <w:gridAfter w:val="3"/>
          <w:wAfter w:w="5095" w:type="dxa"/>
          <w:trHeight w:val="88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использования средств резервного фонда                                                                                                                                                                                                                   Новоснежнинского муниципального образования</w:t>
            </w:r>
          </w:p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квартал 2024 год</w:t>
            </w:r>
          </w:p>
        </w:tc>
      </w:tr>
      <w:tr w:rsidR="00981BBC" w:rsidRPr="00981BBC" w:rsidTr="00981BBC">
        <w:trPr>
          <w:gridAfter w:val="3"/>
          <w:wAfter w:w="5095" w:type="dxa"/>
          <w:trHeight w:val="132"/>
        </w:trPr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BBC" w:rsidRPr="00981BBC" w:rsidTr="00981BBC">
        <w:trPr>
          <w:trHeight w:val="74"/>
        </w:trPr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gridAfter w:val="3"/>
          <w:wAfter w:w="5095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Резервный фонд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 xml:space="preserve">Утверждено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</w:p>
        </w:tc>
      </w:tr>
      <w:tr w:rsidR="00981BBC" w:rsidRPr="00981BBC" w:rsidTr="00981BBC">
        <w:trPr>
          <w:gridAfter w:val="3"/>
          <w:wAfter w:w="5095" w:type="dxa"/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Новоснежнинское</w:t>
            </w:r>
            <w:r w:rsidRPr="00981BBC">
              <w:rPr>
                <w:rFonts w:ascii="Courier New" w:eastAsia="Times New Roman" w:hAnsi="Courier New" w:cs="Courier New"/>
                <w:lang w:eastAsia="ru-RU"/>
              </w:rPr>
              <w:br/>
              <w:t xml:space="preserve">муниципальное                                                             образование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</w:tbl>
    <w:p w:rsidR="00981BBC" w:rsidRPr="00981BBC" w:rsidRDefault="00981BBC" w:rsidP="00981BBC">
      <w:pPr>
        <w:spacing w:after="0" w:line="24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администрации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Новоснежнинского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981BBC" w:rsidRPr="00981BBC" w:rsidRDefault="00981BBC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Л.В. Михайлова</w:t>
      </w:r>
    </w:p>
    <w:p w:rsidR="00981BBC" w:rsidRDefault="00981BBC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84E" w:rsidRPr="00981BBC" w:rsidRDefault="00C0084E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BBC" w:rsidRDefault="00981BBC" w:rsidP="00C0084E">
      <w:pPr>
        <w:spacing w:after="0" w:line="240" w:lineRule="auto"/>
        <w:ind w:right="-3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981BBC">
        <w:rPr>
          <w:rFonts w:ascii="Courier New" w:eastAsia="Times New Roman" w:hAnsi="Courier New" w:cs="Courier New"/>
          <w:bCs/>
          <w:color w:val="000000"/>
          <w:lang w:eastAsia="ru-RU"/>
        </w:rPr>
        <w:lastRenderedPageBreak/>
        <w:t>Приложение 7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 Новоснежнинского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Слюдянского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Новоснежнинского муниципального</w:t>
      </w:r>
    </w:p>
    <w:p w:rsidR="00981BBC" w:rsidRDefault="00981BBC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образования за 1 квартал 2024 года»</w:t>
      </w:r>
    </w:p>
    <w:p w:rsidR="00981BBC" w:rsidRPr="00981BBC" w:rsidRDefault="00392A5F" w:rsidP="00981BB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08.05.2024г. № 11</w:t>
      </w:r>
      <w:bookmarkStart w:id="1" w:name="_GoBack"/>
      <w:bookmarkEnd w:id="1"/>
      <w:r w:rsidR="00981BBC">
        <w:rPr>
          <w:rFonts w:ascii="Courier New" w:eastAsia="Times New Roman" w:hAnsi="Courier New" w:cs="Courier New"/>
          <w:lang w:eastAsia="ru-RU"/>
        </w:rPr>
        <w:t>-5сд</w:t>
      </w:r>
    </w:p>
    <w:p w:rsidR="00981BBC" w:rsidRPr="00981BBC" w:rsidRDefault="00981BBC" w:rsidP="00981BBC">
      <w:pPr>
        <w:spacing w:after="0" w:line="240" w:lineRule="auto"/>
        <w:ind w:right="567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4111"/>
        <w:gridCol w:w="3049"/>
        <w:gridCol w:w="236"/>
        <w:gridCol w:w="1818"/>
        <w:gridCol w:w="846"/>
        <w:gridCol w:w="236"/>
      </w:tblGrid>
      <w:tr w:rsidR="00981BBC" w:rsidRPr="00981BBC" w:rsidTr="00981BBC">
        <w:trPr>
          <w:gridAfter w:val="2"/>
          <w:wAfter w:w="1082" w:type="dxa"/>
          <w:trHeight w:val="156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ind w:right="-6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численности муниципальных служащих администрации Новоснежнинского сельского поселения с указанием фактических затрат на их содержание</w:t>
            </w:r>
          </w:p>
        </w:tc>
      </w:tr>
      <w:tr w:rsidR="00981BBC" w:rsidRPr="00981BBC" w:rsidTr="00981BBC">
        <w:trPr>
          <w:trHeight w:val="31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квартал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тыс.руб.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BBC" w:rsidRPr="00981BBC" w:rsidTr="00981BBC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Численность муниципальных служащих(чел)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BBC" w:rsidRPr="00981BBC" w:rsidTr="00981BBC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891,43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trHeight w:val="3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BC" w:rsidRPr="00981BBC" w:rsidTr="00981BBC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Численность культура (чел)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BBC" w:rsidRPr="00981BBC" w:rsidTr="00981BBC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81BBC">
              <w:rPr>
                <w:rFonts w:ascii="Courier New" w:eastAsia="Times New Roman" w:hAnsi="Courier New" w:cs="Courier New"/>
                <w:lang w:eastAsia="ru-RU"/>
              </w:rPr>
              <w:t>345,1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BC" w:rsidRPr="00981BBC" w:rsidRDefault="00981BBC" w:rsidP="0098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81BBC" w:rsidRPr="00981BBC" w:rsidRDefault="00981BBC" w:rsidP="00981BBC">
      <w:pPr>
        <w:spacing w:after="0" w:line="24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администрации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Новоснежнинского</w:t>
      </w:r>
    </w:p>
    <w:p w:rsidR="00981BBC" w:rsidRPr="00981BBC" w:rsidRDefault="00981BBC" w:rsidP="00981B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981BBC" w:rsidRPr="00981BBC" w:rsidRDefault="00981BBC" w:rsidP="00981BB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Л.В. Михайлова</w:t>
      </w:r>
    </w:p>
    <w:p w:rsidR="00981BBC" w:rsidRDefault="00981BBC"/>
    <w:sectPr w:rsidR="00981BBC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31" w:rsidRDefault="00250D31" w:rsidP="00407ABD">
      <w:pPr>
        <w:spacing w:after="0" w:line="240" w:lineRule="auto"/>
      </w:pPr>
      <w:r>
        <w:separator/>
      </w:r>
    </w:p>
  </w:endnote>
  <w:endnote w:type="continuationSeparator" w:id="0">
    <w:p w:rsidR="00250D31" w:rsidRDefault="00250D31" w:rsidP="0040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31" w:rsidRDefault="00250D31" w:rsidP="00407ABD">
      <w:pPr>
        <w:spacing w:after="0" w:line="240" w:lineRule="auto"/>
      </w:pPr>
      <w:r>
        <w:separator/>
      </w:r>
    </w:p>
  </w:footnote>
  <w:footnote w:type="continuationSeparator" w:id="0">
    <w:p w:rsidR="00250D31" w:rsidRDefault="00250D31" w:rsidP="0040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463"/>
    <w:multiLevelType w:val="hybridMultilevel"/>
    <w:tmpl w:val="6E983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1"/>
    <w:rsid w:val="00250D31"/>
    <w:rsid w:val="00392A5F"/>
    <w:rsid w:val="00407ABD"/>
    <w:rsid w:val="006F323D"/>
    <w:rsid w:val="008D0032"/>
    <w:rsid w:val="00981BBC"/>
    <w:rsid w:val="00B10FA1"/>
    <w:rsid w:val="00BF7AF6"/>
    <w:rsid w:val="00C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199"/>
  <w15:chartTrackingRefBased/>
  <w15:docId w15:val="{56793075-4852-40A1-9046-00D8B751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1B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ABD"/>
  </w:style>
  <w:style w:type="paragraph" w:styleId="a5">
    <w:name w:val="footer"/>
    <w:basedOn w:val="a"/>
    <w:link w:val="a6"/>
    <w:uiPriority w:val="99"/>
    <w:unhideWhenUsed/>
    <w:rsid w:val="0040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ABD"/>
  </w:style>
  <w:style w:type="character" w:customStyle="1" w:styleId="10">
    <w:name w:val="Заголовок 1 Знак"/>
    <w:basedOn w:val="a0"/>
    <w:link w:val="1"/>
    <w:rsid w:val="0098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BBC"/>
  </w:style>
  <w:style w:type="character" w:customStyle="1" w:styleId="a7">
    <w:name w:val="Без интервала Знак"/>
    <w:link w:val="a8"/>
    <w:uiPriority w:val="1"/>
    <w:locked/>
    <w:rsid w:val="00981BBC"/>
  </w:style>
  <w:style w:type="paragraph" w:styleId="a8">
    <w:name w:val="No Spacing"/>
    <w:link w:val="a7"/>
    <w:uiPriority w:val="1"/>
    <w:qFormat/>
    <w:rsid w:val="00981BB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81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1BB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81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2024-05-08T00:12:00Z</cp:lastPrinted>
  <dcterms:created xsi:type="dcterms:W3CDTF">2024-05-06T06:00:00Z</dcterms:created>
  <dcterms:modified xsi:type="dcterms:W3CDTF">2024-05-08T00:14:00Z</dcterms:modified>
</cp:coreProperties>
</file>